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2695"/>
        <w:gridCol w:w="1299"/>
        <w:gridCol w:w="808"/>
        <w:gridCol w:w="1004"/>
        <w:gridCol w:w="1397"/>
      </w:tblGrid>
      <w:tr w:rsidR="00E604B6" w:rsidRPr="00403CC9">
        <w:tc>
          <w:tcPr>
            <w:tcW w:w="9016" w:type="dxa"/>
            <w:gridSpan w:val="6"/>
            <w:shd w:val="clear" w:color="auto" w:fill="DEEBF6"/>
          </w:tcPr>
          <w:p w:rsidR="00E604B6" w:rsidRPr="00403CC9" w:rsidRDefault="005C3B1B">
            <w:pPr>
              <w:spacing w:before="20" w:after="20"/>
              <w:jc w:val="center"/>
              <w:rPr>
                <w:rFonts w:asciiTheme="majorHAnsi" w:hAnsiTheme="majorHAnsi" w:cstheme="majorHAnsi"/>
                <w:b/>
                <w:color w:val="1F4E79"/>
                <w:sz w:val="28"/>
                <w:szCs w:val="28"/>
              </w:rPr>
            </w:pPr>
            <w:r w:rsidRPr="00403CC9">
              <w:rPr>
                <w:rFonts w:asciiTheme="majorHAnsi" w:hAnsiTheme="majorHAnsi" w:cstheme="majorHAnsi"/>
                <w:b/>
                <w:color w:val="1F4E79"/>
                <w:sz w:val="28"/>
                <w:szCs w:val="28"/>
              </w:rPr>
              <w:t xml:space="preserve">Transforming Practice: </w:t>
            </w:r>
            <w:r w:rsidRPr="00403CC9">
              <w:rPr>
                <w:rFonts w:asciiTheme="majorHAnsi" w:hAnsiTheme="majorHAnsi" w:cstheme="majorHAnsi"/>
                <w:color w:val="1F4E79"/>
                <w:sz w:val="28"/>
                <w:szCs w:val="28"/>
              </w:rPr>
              <w:t>ongoing learning as youth workers</w:t>
            </w:r>
          </w:p>
        </w:tc>
      </w:tr>
      <w:tr w:rsidR="00E604B6" w:rsidRPr="00403CC9">
        <w:tc>
          <w:tcPr>
            <w:tcW w:w="9016" w:type="dxa"/>
            <w:gridSpan w:val="6"/>
            <w:shd w:val="clear" w:color="auto" w:fill="FFFFFF"/>
          </w:tcPr>
          <w:p w:rsidR="00E604B6" w:rsidRPr="00403CC9" w:rsidRDefault="005C3B1B">
            <w:pPr>
              <w:spacing w:after="120"/>
              <w:rPr>
                <w:rFonts w:asciiTheme="majorHAnsi" w:hAnsiTheme="majorHAnsi" w:cstheme="majorHAnsi"/>
                <w:sz w:val="20"/>
                <w:szCs w:val="20"/>
              </w:rPr>
            </w:pPr>
            <w:bookmarkStart w:id="0" w:name="_heading=h.gjdgxs" w:colFirst="0" w:colLast="0"/>
            <w:bookmarkEnd w:id="0"/>
            <w:r w:rsidRPr="00403CC9">
              <w:rPr>
                <w:rFonts w:asciiTheme="majorHAnsi" w:hAnsiTheme="majorHAnsi" w:cstheme="majorHAnsi"/>
                <w:sz w:val="20"/>
                <w:szCs w:val="20"/>
              </w:rPr>
              <w:t xml:space="preserve">After attaining membership to Korowai Tupu, youth workers are expected to engage in </w:t>
            </w:r>
            <w:r w:rsidRPr="00403CC9">
              <w:rPr>
                <w:rFonts w:asciiTheme="majorHAnsi" w:hAnsiTheme="majorHAnsi" w:cstheme="majorHAnsi"/>
                <w:b/>
                <w:sz w:val="20"/>
                <w:szCs w:val="20"/>
              </w:rPr>
              <w:t>Transforming Practice</w:t>
            </w:r>
            <w:r w:rsidRPr="00403CC9">
              <w:rPr>
                <w:rFonts w:asciiTheme="majorHAnsi" w:hAnsiTheme="majorHAnsi" w:cstheme="majorHAnsi"/>
                <w:sz w:val="20"/>
                <w:szCs w:val="20"/>
              </w:rPr>
              <w:t xml:space="preserve"> activities regularly.  This keep</w:t>
            </w:r>
            <w:r w:rsidR="00403CC9" w:rsidRPr="00403CC9">
              <w:rPr>
                <w:rFonts w:asciiTheme="majorHAnsi" w:hAnsiTheme="majorHAnsi" w:cstheme="majorHAnsi"/>
                <w:sz w:val="20"/>
                <w:szCs w:val="20"/>
              </w:rPr>
              <w:t>s</w:t>
            </w:r>
            <w:r w:rsidRPr="00403CC9">
              <w:rPr>
                <w:rFonts w:asciiTheme="majorHAnsi" w:hAnsiTheme="majorHAnsi" w:cstheme="majorHAnsi"/>
                <w:sz w:val="20"/>
                <w:szCs w:val="20"/>
              </w:rPr>
              <w:t xml:space="preserve"> our core competencies alive! Transforming Practice includes ongoing professional development, training, conferences, workshops that you attend or facilitate, supervision, reading, intentional networking, reflection on actual experiences with young people, and other innovative activities. </w:t>
            </w:r>
          </w:p>
          <w:p w:rsidR="009E6CDA" w:rsidRPr="00403CC9" w:rsidRDefault="005C3B1B">
            <w:pPr>
              <w:spacing w:before="60"/>
              <w:rPr>
                <w:rFonts w:asciiTheme="majorHAnsi" w:hAnsiTheme="majorHAnsi" w:cstheme="majorHAnsi"/>
                <w:sz w:val="20"/>
                <w:szCs w:val="20"/>
              </w:rPr>
            </w:pPr>
            <w:r w:rsidRPr="00403CC9">
              <w:rPr>
                <w:rFonts w:asciiTheme="majorHAnsi" w:hAnsiTheme="majorHAnsi" w:cstheme="majorHAnsi"/>
                <w:sz w:val="20"/>
                <w:szCs w:val="20"/>
              </w:rPr>
              <w:t>Measuring and recording this each year is not about compliance, rather Transforming Practice gives us an opportunity to pause and reflect on our learning from the previous year; it reminds us how we’re continually evolving, ensuring our profession remains dynamic and responsive to young people. We note this process is designed to ensure youth workers are upholding clauses 18 (supervision) and 26 (training and professional development) of the COE, and Korowai Tupu’s 9</w:t>
            </w:r>
            <w:r w:rsidRPr="00403CC9">
              <w:rPr>
                <w:rFonts w:asciiTheme="majorHAnsi" w:hAnsiTheme="majorHAnsi" w:cstheme="majorHAnsi"/>
                <w:sz w:val="20"/>
                <w:szCs w:val="20"/>
                <w:vertAlign w:val="superscript"/>
              </w:rPr>
              <w:t>th</w:t>
            </w:r>
            <w:r w:rsidRPr="00403CC9">
              <w:rPr>
                <w:rFonts w:asciiTheme="majorHAnsi" w:hAnsiTheme="majorHAnsi" w:cstheme="majorHAnsi"/>
                <w:sz w:val="20"/>
                <w:szCs w:val="20"/>
              </w:rPr>
              <w:t xml:space="preserve"> core competency (being a reflective practitioner).</w:t>
            </w:r>
          </w:p>
        </w:tc>
      </w:tr>
      <w:tr w:rsidR="00403CC9" w:rsidRPr="00403CC9" w:rsidTr="00642B34">
        <w:tc>
          <w:tcPr>
            <w:tcW w:w="9016" w:type="dxa"/>
            <w:gridSpan w:val="6"/>
            <w:shd w:val="clear" w:color="auto" w:fill="E2EFD9"/>
          </w:tcPr>
          <w:p w:rsidR="00403CC9" w:rsidRPr="00403CC9" w:rsidRDefault="00403CC9" w:rsidP="00642B34">
            <w:pPr>
              <w:spacing w:before="60" w:after="60"/>
              <w:jc w:val="center"/>
              <w:rPr>
                <w:rFonts w:asciiTheme="majorHAnsi" w:hAnsiTheme="majorHAnsi" w:cstheme="majorHAnsi"/>
                <w:b/>
                <w:sz w:val="28"/>
                <w:szCs w:val="28"/>
              </w:rPr>
            </w:pPr>
            <w:r w:rsidRPr="00403CC9">
              <w:rPr>
                <w:rFonts w:asciiTheme="majorHAnsi" w:hAnsiTheme="majorHAnsi" w:cstheme="majorHAnsi"/>
                <w:b/>
                <w:color w:val="1F4E79"/>
                <w:sz w:val="28"/>
                <w:szCs w:val="28"/>
              </w:rPr>
              <w:t>Annual Record of Professional Development Activities</w:t>
            </w:r>
          </w:p>
        </w:tc>
      </w:tr>
      <w:tr w:rsidR="00403CC9" w:rsidRPr="00403CC9" w:rsidTr="00DD3FF8">
        <w:tc>
          <w:tcPr>
            <w:tcW w:w="4508" w:type="dxa"/>
            <w:gridSpan w:val="2"/>
            <w:shd w:val="clear" w:color="auto" w:fill="FFF2CC"/>
          </w:tcPr>
          <w:p w:rsidR="00403CC9" w:rsidRPr="00403CC9" w:rsidRDefault="00403CC9" w:rsidP="00403CC9">
            <w:pPr>
              <w:jc w:val="center"/>
              <w:rPr>
                <w:rFonts w:asciiTheme="majorHAnsi" w:hAnsiTheme="majorHAnsi" w:cstheme="majorHAnsi"/>
                <w:b/>
                <w:color w:val="ED7D31"/>
                <w:sz w:val="30"/>
                <w:szCs w:val="30"/>
              </w:rPr>
            </w:pPr>
            <w:r w:rsidRPr="00403CC9">
              <w:rPr>
                <w:rFonts w:asciiTheme="majorHAnsi" w:hAnsiTheme="majorHAnsi" w:cstheme="majorHAnsi"/>
                <w:b/>
                <w:color w:val="ED7D31"/>
                <w:sz w:val="30"/>
                <w:szCs w:val="30"/>
              </w:rPr>
              <w:t xml:space="preserve">1 July 2018 – 30 June 2019 </w:t>
            </w:r>
          </w:p>
        </w:tc>
        <w:tc>
          <w:tcPr>
            <w:tcW w:w="4508" w:type="dxa"/>
            <w:gridSpan w:val="4"/>
            <w:shd w:val="clear" w:color="auto" w:fill="FFF2CC"/>
          </w:tcPr>
          <w:p w:rsidR="00403CC9" w:rsidRPr="00403CC9" w:rsidRDefault="00403CC9" w:rsidP="00403CC9">
            <w:pPr>
              <w:jc w:val="center"/>
              <w:rPr>
                <w:rFonts w:asciiTheme="majorHAnsi" w:hAnsiTheme="majorHAnsi" w:cstheme="majorHAnsi"/>
                <w:b/>
                <w:color w:val="ED7D31"/>
                <w:sz w:val="30"/>
                <w:szCs w:val="30"/>
              </w:rPr>
            </w:pPr>
            <w:r w:rsidRPr="00403CC9">
              <w:rPr>
                <w:rFonts w:asciiTheme="majorHAnsi" w:hAnsiTheme="majorHAnsi" w:cstheme="majorHAnsi"/>
                <w:b/>
                <w:color w:val="ED7D31"/>
                <w:sz w:val="30"/>
                <w:szCs w:val="30"/>
              </w:rPr>
              <w:t>DUE</w:t>
            </w:r>
            <w:r>
              <w:rPr>
                <w:rFonts w:asciiTheme="majorHAnsi" w:hAnsiTheme="majorHAnsi" w:cstheme="majorHAnsi"/>
                <w:b/>
                <w:color w:val="ED7D31"/>
                <w:sz w:val="30"/>
                <w:szCs w:val="30"/>
              </w:rPr>
              <w:t>: 30 November 2019</w:t>
            </w:r>
          </w:p>
        </w:tc>
      </w:tr>
      <w:tr w:rsidR="00403CC9" w:rsidRPr="00403CC9" w:rsidTr="005E0189">
        <w:tc>
          <w:tcPr>
            <w:tcW w:w="1813" w:type="dxa"/>
            <w:shd w:val="clear" w:color="auto" w:fill="DEEBF6"/>
          </w:tcPr>
          <w:p w:rsidR="00403CC9" w:rsidRPr="00403CC9" w:rsidRDefault="00403CC9" w:rsidP="00403CC9">
            <w:pPr>
              <w:spacing w:before="60" w:after="60"/>
              <w:rPr>
                <w:rFonts w:asciiTheme="majorHAnsi" w:hAnsiTheme="majorHAnsi" w:cstheme="majorHAnsi"/>
              </w:rPr>
            </w:pPr>
            <w:r w:rsidRPr="00403CC9">
              <w:rPr>
                <w:rFonts w:asciiTheme="majorHAnsi" w:hAnsiTheme="majorHAnsi" w:cstheme="majorHAnsi"/>
              </w:rPr>
              <w:t>Member:</w:t>
            </w:r>
          </w:p>
        </w:tc>
        <w:tc>
          <w:tcPr>
            <w:tcW w:w="3994" w:type="dxa"/>
            <w:gridSpan w:val="2"/>
            <w:shd w:val="clear" w:color="auto" w:fill="FFFFFF"/>
          </w:tcPr>
          <w:p w:rsidR="00403CC9" w:rsidRPr="00FF247F" w:rsidRDefault="00403CC9" w:rsidP="00403CC9">
            <w:pPr>
              <w:spacing w:before="60" w:after="60"/>
              <w:rPr>
                <w:rFonts w:asciiTheme="majorHAnsi" w:hAnsiTheme="majorHAnsi" w:cstheme="majorHAnsi"/>
                <w:color w:val="808080" w:themeColor="background1" w:themeShade="80"/>
                <w:sz w:val="24"/>
                <w:szCs w:val="24"/>
              </w:rPr>
            </w:pPr>
            <w:r w:rsidRPr="00FF247F">
              <w:rPr>
                <w:rFonts w:asciiTheme="majorHAnsi" w:hAnsiTheme="majorHAnsi" w:cstheme="majorHAnsi"/>
                <w:color w:val="808080" w:themeColor="background1" w:themeShade="80"/>
                <w:sz w:val="24"/>
                <w:szCs w:val="24"/>
              </w:rPr>
              <w:t>Your name here</w:t>
            </w:r>
          </w:p>
        </w:tc>
        <w:tc>
          <w:tcPr>
            <w:tcW w:w="808" w:type="dxa"/>
            <w:shd w:val="clear" w:color="auto" w:fill="DEEAF6" w:themeFill="accent1" w:themeFillTint="33"/>
          </w:tcPr>
          <w:p w:rsidR="00403CC9" w:rsidRPr="00403CC9" w:rsidRDefault="00403CC9" w:rsidP="00403CC9">
            <w:pPr>
              <w:spacing w:before="60" w:after="60"/>
              <w:rPr>
                <w:rFonts w:asciiTheme="majorHAnsi" w:hAnsiTheme="majorHAnsi" w:cstheme="majorHAnsi"/>
              </w:rPr>
            </w:pPr>
            <w:r w:rsidRPr="00403CC9">
              <w:rPr>
                <w:rFonts w:asciiTheme="majorHAnsi" w:hAnsiTheme="majorHAnsi" w:cstheme="majorHAnsi"/>
              </w:rPr>
              <w:t>Date:</w:t>
            </w:r>
          </w:p>
        </w:tc>
        <w:tc>
          <w:tcPr>
            <w:tcW w:w="2401" w:type="dxa"/>
            <w:gridSpan w:val="2"/>
            <w:shd w:val="clear" w:color="auto" w:fill="FFFFFF"/>
          </w:tcPr>
          <w:p w:rsidR="00403CC9" w:rsidRPr="00403CC9" w:rsidRDefault="00403CC9" w:rsidP="00403CC9">
            <w:pPr>
              <w:spacing w:before="60" w:after="60"/>
              <w:rPr>
                <w:rFonts w:asciiTheme="majorHAnsi" w:hAnsiTheme="majorHAnsi" w:cstheme="majorHAnsi"/>
              </w:rPr>
            </w:pPr>
          </w:p>
        </w:tc>
      </w:tr>
      <w:tr w:rsidR="00526F9B" w:rsidRPr="00403CC9" w:rsidTr="000C5C37">
        <w:tc>
          <w:tcPr>
            <w:tcW w:w="1813" w:type="dxa"/>
            <w:shd w:val="clear" w:color="auto" w:fill="DEEBF6"/>
          </w:tcPr>
          <w:p w:rsidR="00526F9B" w:rsidRPr="00403CC9" w:rsidRDefault="00526F9B" w:rsidP="00403CC9">
            <w:pPr>
              <w:spacing w:before="60" w:after="60"/>
              <w:rPr>
                <w:rFonts w:asciiTheme="majorHAnsi" w:hAnsiTheme="majorHAnsi" w:cstheme="majorHAnsi"/>
              </w:rPr>
            </w:pPr>
            <w:r>
              <w:rPr>
                <w:rFonts w:asciiTheme="majorHAnsi" w:hAnsiTheme="majorHAnsi" w:cstheme="majorHAnsi"/>
              </w:rPr>
              <w:t>Membership Type:</w:t>
            </w:r>
          </w:p>
        </w:tc>
        <w:tc>
          <w:tcPr>
            <w:tcW w:w="7203" w:type="dxa"/>
            <w:gridSpan w:val="5"/>
            <w:shd w:val="clear" w:color="auto" w:fill="FFFFFF"/>
          </w:tcPr>
          <w:p w:rsidR="00526F9B" w:rsidRPr="00526F9B" w:rsidRDefault="00526F9B" w:rsidP="00526F9B">
            <w:pPr>
              <w:spacing w:before="60" w:after="60"/>
              <w:rPr>
                <w:rFonts w:asciiTheme="majorHAnsi" w:hAnsiTheme="majorHAnsi" w:cstheme="majorHAnsi"/>
              </w:rPr>
            </w:pPr>
            <w:r w:rsidRPr="00526F9B">
              <w:rPr>
                <w:rFonts w:asciiTheme="majorHAnsi" w:hAnsiTheme="majorHAnsi" w:cstheme="majorHAnsi"/>
              </w:rPr>
              <w:t xml:space="preserve">Member </w:t>
            </w:r>
            <w:sdt>
              <w:sdtPr>
                <w:rPr>
                  <w:rFonts w:asciiTheme="majorHAnsi" w:hAnsiTheme="majorHAnsi" w:cstheme="majorHAnsi"/>
                </w:rPr>
                <w:id w:val="-1841225528"/>
                <w14:checkbox>
                  <w14:checked w14:val="0"/>
                  <w14:checkedState w14:val="2612" w14:font="MS Gothic"/>
                  <w14:uncheckedState w14:val="2610" w14:font="MS Gothic"/>
                </w14:checkbox>
              </w:sdtPr>
              <w:sdtEndPr/>
              <w:sdtContent>
                <w:r w:rsidRPr="00526F9B">
                  <w:rPr>
                    <w:rFonts w:ascii="MS Gothic" w:eastAsia="MS Gothic" w:hAnsi="MS Gothic" w:cstheme="majorHAnsi" w:hint="eastAsia"/>
                  </w:rPr>
                  <w:t>☐</w:t>
                </w:r>
              </w:sdtContent>
            </w:sdt>
            <w:r w:rsidRPr="00526F9B">
              <w:rPr>
                <w:rFonts w:asciiTheme="majorHAnsi" w:hAnsiTheme="majorHAnsi" w:cstheme="majorHAnsi"/>
              </w:rPr>
              <w:t xml:space="preserve">                                   Practicing </w:t>
            </w:r>
            <w:sdt>
              <w:sdtPr>
                <w:rPr>
                  <w:rFonts w:asciiTheme="majorHAnsi" w:hAnsiTheme="majorHAnsi" w:cstheme="majorHAnsi"/>
                </w:rPr>
                <w:id w:val="514808410"/>
                <w14:checkbox>
                  <w14:checked w14:val="0"/>
                  <w14:checkedState w14:val="2612" w14:font="MS Gothic"/>
                  <w14:uncheckedState w14:val="2610" w14:font="MS Gothic"/>
                </w14:checkbox>
              </w:sdtPr>
              <w:sdtEndPr/>
              <w:sdtContent>
                <w:r w:rsidRPr="00526F9B">
                  <w:rPr>
                    <w:rFonts w:ascii="MS Gothic" w:eastAsia="MS Gothic" w:hAnsi="MS Gothic" w:cstheme="majorHAnsi" w:hint="eastAsia"/>
                  </w:rPr>
                  <w:t>☐</w:t>
                </w:r>
              </w:sdtContent>
            </w:sdt>
          </w:p>
          <w:p w:rsidR="00526F9B" w:rsidRPr="00403CC9" w:rsidRDefault="00526F9B" w:rsidP="00526F9B">
            <w:pPr>
              <w:spacing w:before="60" w:after="60"/>
              <w:rPr>
                <w:rFonts w:asciiTheme="majorHAnsi" w:hAnsiTheme="majorHAnsi" w:cstheme="majorHAnsi"/>
              </w:rPr>
            </w:pPr>
            <w:r w:rsidRPr="00526F9B">
              <w:rPr>
                <w:rFonts w:asciiTheme="majorHAnsi" w:hAnsiTheme="majorHAnsi" w:cstheme="majorHAnsi"/>
              </w:rPr>
              <w:t xml:space="preserve">Accredited Member </w:t>
            </w:r>
            <w:sdt>
              <w:sdtPr>
                <w:rPr>
                  <w:rFonts w:asciiTheme="majorHAnsi" w:hAnsiTheme="majorHAnsi" w:cstheme="majorHAnsi"/>
                </w:rPr>
                <w:id w:val="-671403172"/>
                <w14:checkbox>
                  <w14:checked w14:val="0"/>
                  <w14:checkedState w14:val="2612" w14:font="MS Gothic"/>
                  <w14:uncheckedState w14:val="2610" w14:font="MS Gothic"/>
                </w14:checkbox>
              </w:sdtPr>
              <w:sdtEndPr/>
              <w:sdtContent>
                <w:r w:rsidRPr="00526F9B">
                  <w:rPr>
                    <w:rFonts w:ascii="MS Gothic" w:eastAsia="MS Gothic" w:hAnsi="MS Gothic" w:cstheme="majorHAnsi" w:hint="eastAsia"/>
                  </w:rPr>
                  <w:t>☐</w:t>
                </w:r>
              </w:sdtContent>
            </w:sdt>
            <w:r w:rsidRPr="00526F9B">
              <w:rPr>
                <w:rFonts w:asciiTheme="majorHAnsi" w:hAnsiTheme="majorHAnsi" w:cstheme="majorHAnsi"/>
              </w:rPr>
              <w:t xml:space="preserve">               Non-practicing </w:t>
            </w:r>
            <w:sdt>
              <w:sdtPr>
                <w:rPr>
                  <w:rFonts w:asciiTheme="majorHAnsi" w:hAnsiTheme="majorHAnsi" w:cstheme="majorHAnsi"/>
                </w:rPr>
                <w:id w:val="1202982692"/>
                <w14:checkbox>
                  <w14:checked w14:val="0"/>
                  <w14:checkedState w14:val="2612" w14:font="MS Gothic"/>
                  <w14:uncheckedState w14:val="2610" w14:font="MS Gothic"/>
                </w14:checkbox>
              </w:sdtPr>
              <w:sdtEndPr/>
              <w:sdtContent>
                <w:r w:rsidRPr="00526F9B">
                  <w:rPr>
                    <w:rFonts w:ascii="MS Gothic" w:eastAsia="MS Gothic" w:hAnsi="MS Gothic" w:cstheme="majorHAnsi" w:hint="eastAsia"/>
                  </w:rPr>
                  <w:t>☐</w:t>
                </w:r>
              </w:sdtContent>
            </w:sdt>
          </w:p>
        </w:tc>
      </w:tr>
      <w:tr w:rsidR="00403CC9" w:rsidRPr="00403CC9" w:rsidTr="00B22EFF">
        <w:trPr>
          <w:trHeight w:val="1260"/>
        </w:trPr>
        <w:tc>
          <w:tcPr>
            <w:tcW w:w="1813" w:type="dxa"/>
            <w:shd w:val="clear" w:color="auto" w:fill="DEEBF6"/>
          </w:tcPr>
          <w:p w:rsidR="00403CC9" w:rsidRPr="00403CC9" w:rsidRDefault="00403CC9" w:rsidP="00403CC9">
            <w:pPr>
              <w:rPr>
                <w:rFonts w:asciiTheme="majorHAnsi" w:hAnsiTheme="majorHAnsi" w:cstheme="majorHAnsi"/>
              </w:rPr>
            </w:pPr>
            <w:r>
              <w:rPr>
                <w:rFonts w:asciiTheme="majorHAnsi" w:hAnsiTheme="majorHAnsi" w:cstheme="majorHAnsi"/>
              </w:rPr>
              <w:t>Overview</w:t>
            </w:r>
            <w:r w:rsidRPr="00403CC9">
              <w:rPr>
                <w:rFonts w:asciiTheme="majorHAnsi" w:hAnsiTheme="majorHAnsi" w:cstheme="majorHAnsi"/>
              </w:rPr>
              <w:t xml:space="preserve">: </w:t>
            </w:r>
          </w:p>
        </w:tc>
        <w:tc>
          <w:tcPr>
            <w:tcW w:w="7203" w:type="dxa"/>
            <w:gridSpan w:val="5"/>
          </w:tcPr>
          <w:p w:rsidR="00403CC9" w:rsidRPr="00FF247F" w:rsidRDefault="00403CC9" w:rsidP="00403CC9">
            <w:pPr>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 xml:space="preserve">Provide a brief introductory statement that contextualizes your development and growth as a youth worker this year. </w:t>
            </w:r>
          </w:p>
          <w:p w:rsidR="00403CC9" w:rsidRPr="00FF247F" w:rsidRDefault="00403CC9" w:rsidP="00403CC9">
            <w:pPr>
              <w:pStyle w:val="ListParagraph"/>
              <w:numPr>
                <w:ilvl w:val="0"/>
                <w:numId w:val="4"/>
              </w:numPr>
              <w:rPr>
                <w:rFonts w:asciiTheme="majorHAnsi" w:hAnsiTheme="majorHAnsi" w:cstheme="majorHAnsi"/>
                <w:i/>
                <w:color w:val="808080" w:themeColor="background1" w:themeShade="80"/>
              </w:rPr>
            </w:pPr>
            <w:r w:rsidRPr="00FF247F">
              <w:rPr>
                <w:rFonts w:asciiTheme="majorHAnsi" w:hAnsiTheme="majorHAnsi" w:cstheme="majorHAnsi"/>
                <w:color w:val="808080" w:themeColor="background1" w:themeShade="80"/>
                <w:sz w:val="20"/>
                <w:szCs w:val="20"/>
              </w:rPr>
              <w:t xml:space="preserve">How have you transformed your practice? </w:t>
            </w:r>
          </w:p>
          <w:p w:rsidR="00403CC9" w:rsidRPr="00FF247F" w:rsidRDefault="00403CC9" w:rsidP="00403CC9">
            <w:pPr>
              <w:pStyle w:val="ListParagraph"/>
              <w:numPr>
                <w:ilvl w:val="0"/>
                <w:numId w:val="4"/>
              </w:numPr>
              <w:rPr>
                <w:rFonts w:asciiTheme="majorHAnsi" w:hAnsiTheme="majorHAnsi" w:cstheme="majorHAnsi"/>
                <w:i/>
                <w:color w:val="808080" w:themeColor="background1" w:themeShade="80"/>
              </w:rPr>
            </w:pPr>
            <w:r w:rsidRPr="00FF247F">
              <w:rPr>
                <w:rFonts w:asciiTheme="majorHAnsi" w:hAnsiTheme="majorHAnsi" w:cstheme="majorHAnsi"/>
                <w:color w:val="808080" w:themeColor="background1" w:themeShade="80"/>
                <w:sz w:val="20"/>
                <w:szCs w:val="20"/>
              </w:rPr>
              <w:t>How have you contributed to transforming youth work practice?</w:t>
            </w:r>
          </w:p>
        </w:tc>
      </w:tr>
      <w:tr w:rsidR="00403CC9" w:rsidRPr="00403CC9">
        <w:tc>
          <w:tcPr>
            <w:tcW w:w="1813" w:type="dxa"/>
            <w:shd w:val="clear" w:color="auto" w:fill="DEEBF6"/>
          </w:tcPr>
          <w:p w:rsidR="00403CC9" w:rsidRPr="00403CC9" w:rsidRDefault="00403CC9" w:rsidP="00403CC9">
            <w:pPr>
              <w:rPr>
                <w:rFonts w:asciiTheme="majorHAnsi" w:hAnsiTheme="majorHAnsi" w:cstheme="majorHAnsi"/>
              </w:rPr>
            </w:pPr>
            <w:r w:rsidRPr="00403CC9">
              <w:rPr>
                <w:rFonts w:asciiTheme="majorHAnsi" w:hAnsiTheme="majorHAnsi" w:cstheme="majorHAnsi"/>
              </w:rPr>
              <w:t>Activities:</w:t>
            </w:r>
          </w:p>
        </w:tc>
        <w:tc>
          <w:tcPr>
            <w:tcW w:w="5806" w:type="dxa"/>
            <w:gridSpan w:val="4"/>
            <w:shd w:val="clear" w:color="auto" w:fill="DEEBF6"/>
          </w:tcPr>
          <w:p w:rsidR="00403CC9" w:rsidRPr="00403CC9" w:rsidRDefault="00403CC9" w:rsidP="00403CC9">
            <w:pPr>
              <w:rPr>
                <w:rFonts w:asciiTheme="majorHAnsi" w:hAnsiTheme="majorHAnsi" w:cstheme="majorHAnsi"/>
              </w:rPr>
            </w:pPr>
            <w:r w:rsidRPr="00403CC9">
              <w:rPr>
                <w:rFonts w:asciiTheme="majorHAnsi" w:hAnsiTheme="majorHAnsi" w:cstheme="majorHAnsi"/>
              </w:rPr>
              <w:t>Write your examples below</w:t>
            </w:r>
          </w:p>
        </w:tc>
        <w:tc>
          <w:tcPr>
            <w:tcW w:w="1397" w:type="dxa"/>
            <w:shd w:val="clear" w:color="auto" w:fill="DEEBF6"/>
          </w:tcPr>
          <w:p w:rsidR="00403CC9" w:rsidRPr="00403CC9" w:rsidRDefault="00403CC9" w:rsidP="00403CC9">
            <w:pPr>
              <w:rPr>
                <w:rFonts w:asciiTheme="majorHAnsi" w:hAnsiTheme="majorHAnsi" w:cstheme="majorHAnsi"/>
              </w:rPr>
            </w:pPr>
            <w:r w:rsidRPr="00403CC9">
              <w:rPr>
                <w:rFonts w:asciiTheme="majorHAnsi" w:hAnsiTheme="majorHAnsi" w:cstheme="majorHAnsi"/>
              </w:rPr>
              <w:t xml:space="preserve">Confirmation </w:t>
            </w:r>
          </w:p>
        </w:tc>
      </w:tr>
      <w:tr w:rsidR="00403CC9" w:rsidRPr="00403CC9">
        <w:trPr>
          <w:trHeight w:val="1680"/>
        </w:trPr>
        <w:tc>
          <w:tcPr>
            <w:tcW w:w="1813" w:type="dxa"/>
            <w:shd w:val="clear" w:color="auto" w:fill="E2EFD9"/>
          </w:tcPr>
          <w:p w:rsidR="00403CC9" w:rsidRPr="00403CC9" w:rsidRDefault="00403CC9" w:rsidP="00403CC9">
            <w:pPr>
              <w:rPr>
                <w:rFonts w:asciiTheme="majorHAnsi" w:hAnsiTheme="majorHAnsi" w:cstheme="majorHAnsi"/>
                <w:sz w:val="28"/>
                <w:szCs w:val="28"/>
              </w:rPr>
            </w:pPr>
            <w:r w:rsidRPr="00403CC9">
              <w:rPr>
                <w:rFonts w:asciiTheme="majorHAnsi" w:hAnsiTheme="majorHAnsi" w:cstheme="majorHAnsi"/>
                <w:b/>
                <w:sz w:val="28"/>
                <w:szCs w:val="28"/>
              </w:rPr>
              <w:t>Education</w:t>
            </w:r>
            <w:r w:rsidRPr="00403CC9">
              <w:rPr>
                <w:rFonts w:asciiTheme="majorHAnsi" w:hAnsiTheme="majorHAnsi" w:cstheme="majorHAnsi"/>
                <w:sz w:val="28"/>
                <w:szCs w:val="28"/>
              </w:rPr>
              <w:t xml:space="preserve"> </w:t>
            </w:r>
          </w:p>
          <w:p w:rsidR="00403CC9" w:rsidRPr="00403CC9" w:rsidRDefault="00403CC9" w:rsidP="00403CC9">
            <w:pPr>
              <w:rPr>
                <w:rFonts w:asciiTheme="majorHAnsi" w:hAnsiTheme="majorHAnsi" w:cstheme="majorHAnsi"/>
                <w:sz w:val="21"/>
                <w:szCs w:val="21"/>
              </w:rPr>
            </w:pPr>
            <w:r w:rsidRPr="00403CC9">
              <w:rPr>
                <w:rFonts w:asciiTheme="majorHAnsi" w:hAnsiTheme="majorHAnsi" w:cstheme="majorHAnsi"/>
                <w:sz w:val="21"/>
                <w:szCs w:val="21"/>
              </w:rPr>
              <w:t>with creativity</w:t>
            </w:r>
          </w:p>
        </w:tc>
        <w:tc>
          <w:tcPr>
            <w:tcW w:w="5806" w:type="dxa"/>
            <w:gridSpan w:val="4"/>
          </w:tcPr>
          <w:p w:rsidR="00403CC9" w:rsidRPr="00FF247F" w:rsidRDefault="00351317" w:rsidP="00403CC9">
            <w:pPr>
              <w:pBdr>
                <w:top w:val="nil"/>
                <w:left w:val="nil"/>
                <w:bottom w:val="nil"/>
                <w:right w:val="nil"/>
                <w:between w:val="nil"/>
              </w:pBdr>
              <w:spacing w:line="259" w:lineRule="auto"/>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u w:val="single"/>
              </w:rPr>
              <w:t>T</w:t>
            </w:r>
            <w:r w:rsidR="00403CC9" w:rsidRPr="00FF247F">
              <w:rPr>
                <w:rFonts w:asciiTheme="majorHAnsi" w:hAnsiTheme="majorHAnsi" w:cstheme="majorHAnsi"/>
                <w:color w:val="808080" w:themeColor="background1" w:themeShade="80"/>
                <w:sz w:val="20"/>
                <w:szCs w:val="20"/>
                <w:u w:val="single"/>
              </w:rPr>
              <w:t>raining, workshops, conferences, etc...</w:t>
            </w:r>
            <w:r w:rsidR="00403CC9" w:rsidRPr="00FF247F">
              <w:rPr>
                <w:rFonts w:asciiTheme="majorHAnsi" w:hAnsiTheme="majorHAnsi" w:cstheme="majorHAnsi"/>
                <w:color w:val="808080" w:themeColor="background1" w:themeShade="80"/>
                <w:sz w:val="20"/>
                <w:szCs w:val="20"/>
              </w:rPr>
              <w:t xml:space="preserve"> </w:t>
            </w:r>
          </w:p>
          <w:p w:rsidR="00403CC9" w:rsidRPr="00FF247F" w:rsidRDefault="00403CC9" w:rsidP="00351317">
            <w:pPr>
              <w:numPr>
                <w:ilvl w:val="0"/>
                <w:numId w:val="1"/>
              </w:numPr>
              <w:pBdr>
                <w:top w:val="nil"/>
                <w:left w:val="nil"/>
                <w:bottom w:val="nil"/>
                <w:right w:val="nil"/>
                <w:between w:val="nil"/>
              </w:pBdr>
              <w:spacing w:line="259" w:lineRule="auto"/>
              <w:ind w:left="171" w:hanging="142"/>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 xml:space="preserve"> </w:t>
            </w:r>
            <w:r w:rsidR="00351317" w:rsidRPr="00FF247F">
              <w:rPr>
                <w:rFonts w:asciiTheme="majorHAnsi" w:hAnsiTheme="majorHAnsi" w:cstheme="majorHAnsi"/>
                <w:color w:val="808080" w:themeColor="background1" w:themeShade="80"/>
                <w:sz w:val="20"/>
                <w:szCs w:val="20"/>
              </w:rPr>
              <w:t xml:space="preserve"> List events and topics</w:t>
            </w:r>
          </w:p>
          <w:p w:rsidR="00403CC9" w:rsidRPr="00FF247F" w:rsidRDefault="00403CC9" w:rsidP="00403CC9">
            <w:pPr>
              <w:pBdr>
                <w:top w:val="nil"/>
                <w:left w:val="nil"/>
                <w:bottom w:val="nil"/>
                <w:right w:val="nil"/>
                <w:between w:val="nil"/>
              </w:pBdr>
              <w:spacing w:line="259" w:lineRule="auto"/>
              <w:ind w:left="29"/>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Total approximate time= XXX hours</w:t>
            </w:r>
            <w:r w:rsidRPr="00FF247F">
              <w:rPr>
                <w:rFonts w:asciiTheme="majorHAnsi" w:hAnsiTheme="majorHAnsi" w:cstheme="majorHAnsi"/>
                <w:i/>
                <w:color w:val="808080" w:themeColor="background1" w:themeShade="80"/>
                <w:sz w:val="20"/>
                <w:szCs w:val="20"/>
              </w:rPr>
              <w:t xml:space="preserve"> </w:t>
            </w:r>
          </w:p>
        </w:tc>
        <w:tc>
          <w:tcPr>
            <w:tcW w:w="1397" w:type="dxa"/>
          </w:tcPr>
          <w:p w:rsidR="00403CC9" w:rsidRPr="00FF247F" w:rsidRDefault="00403CC9" w:rsidP="00403CC9">
            <w:pPr>
              <w:spacing w:after="60"/>
              <w:rPr>
                <w:rFonts w:asciiTheme="majorHAnsi" w:hAnsiTheme="majorHAnsi" w:cstheme="majorHAnsi"/>
                <w:i/>
                <w:color w:val="808080" w:themeColor="background1" w:themeShade="80"/>
                <w:sz w:val="20"/>
                <w:szCs w:val="20"/>
              </w:rPr>
            </w:pPr>
            <w:r w:rsidRPr="00FF247F">
              <w:rPr>
                <w:rFonts w:asciiTheme="majorHAnsi" w:hAnsiTheme="majorHAnsi" w:cstheme="majorHAnsi"/>
                <w:i/>
                <w:color w:val="808080" w:themeColor="background1" w:themeShade="80"/>
                <w:sz w:val="20"/>
                <w:szCs w:val="20"/>
              </w:rPr>
              <w:t>Manager’s email address (compulsory)</w:t>
            </w:r>
          </w:p>
          <w:p w:rsidR="00403CC9" w:rsidRPr="00FF247F" w:rsidRDefault="00403CC9" w:rsidP="00403CC9">
            <w:pPr>
              <w:spacing w:after="60"/>
              <w:rPr>
                <w:rFonts w:asciiTheme="majorHAnsi" w:hAnsiTheme="majorHAnsi" w:cstheme="majorHAnsi"/>
                <w:i/>
                <w:color w:val="808080" w:themeColor="background1" w:themeShade="80"/>
                <w:sz w:val="20"/>
                <w:szCs w:val="20"/>
              </w:rPr>
            </w:pPr>
            <w:r w:rsidRPr="00FF247F">
              <w:rPr>
                <w:rFonts w:asciiTheme="majorHAnsi" w:hAnsiTheme="majorHAnsi" w:cstheme="majorHAnsi"/>
                <w:i/>
                <w:color w:val="808080" w:themeColor="background1" w:themeShade="80"/>
                <w:sz w:val="20"/>
                <w:szCs w:val="20"/>
              </w:rPr>
              <w:t xml:space="preserve">Manager’s signature/s (optional) </w:t>
            </w:r>
          </w:p>
        </w:tc>
      </w:tr>
      <w:tr w:rsidR="00403CC9" w:rsidRPr="00403CC9">
        <w:trPr>
          <w:trHeight w:val="1680"/>
        </w:trPr>
        <w:tc>
          <w:tcPr>
            <w:tcW w:w="1813" w:type="dxa"/>
            <w:shd w:val="clear" w:color="auto" w:fill="E2EFD9"/>
          </w:tcPr>
          <w:p w:rsidR="00403CC9" w:rsidRPr="00403CC9" w:rsidRDefault="00403CC9" w:rsidP="00403CC9">
            <w:pPr>
              <w:rPr>
                <w:rFonts w:asciiTheme="majorHAnsi" w:hAnsiTheme="majorHAnsi" w:cstheme="majorHAnsi"/>
                <w:sz w:val="28"/>
                <w:szCs w:val="28"/>
              </w:rPr>
            </w:pPr>
            <w:r w:rsidRPr="00403CC9">
              <w:rPr>
                <w:rFonts w:asciiTheme="majorHAnsi" w:hAnsiTheme="majorHAnsi" w:cstheme="majorHAnsi"/>
                <w:b/>
                <w:sz w:val="28"/>
                <w:szCs w:val="28"/>
              </w:rPr>
              <w:t>Supervision</w:t>
            </w:r>
            <w:r w:rsidRPr="00403CC9">
              <w:rPr>
                <w:rFonts w:asciiTheme="majorHAnsi" w:hAnsiTheme="majorHAnsi" w:cstheme="majorHAnsi"/>
                <w:sz w:val="28"/>
                <w:szCs w:val="28"/>
              </w:rPr>
              <w:t xml:space="preserve"> </w:t>
            </w:r>
          </w:p>
          <w:p w:rsidR="00403CC9" w:rsidRPr="00403CC9" w:rsidRDefault="00403CC9" w:rsidP="00403CC9">
            <w:pPr>
              <w:rPr>
                <w:rFonts w:asciiTheme="majorHAnsi" w:hAnsiTheme="majorHAnsi" w:cstheme="majorHAnsi"/>
                <w:sz w:val="21"/>
                <w:szCs w:val="21"/>
              </w:rPr>
            </w:pPr>
            <w:r w:rsidRPr="00403CC9">
              <w:rPr>
                <w:rFonts w:asciiTheme="majorHAnsi" w:hAnsiTheme="majorHAnsi" w:cstheme="majorHAnsi"/>
                <w:sz w:val="21"/>
                <w:szCs w:val="21"/>
              </w:rPr>
              <w:t>with regularity</w:t>
            </w:r>
          </w:p>
        </w:tc>
        <w:tc>
          <w:tcPr>
            <w:tcW w:w="5806" w:type="dxa"/>
            <w:gridSpan w:val="4"/>
          </w:tcPr>
          <w:p w:rsidR="00403CC9" w:rsidRPr="00FF247F" w:rsidRDefault="00403CC9" w:rsidP="00403CC9">
            <w:pPr>
              <w:pBdr>
                <w:top w:val="nil"/>
                <w:left w:val="nil"/>
                <w:bottom w:val="nil"/>
                <w:right w:val="nil"/>
                <w:between w:val="nil"/>
              </w:pBdr>
              <w:spacing w:line="259" w:lineRule="auto"/>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u w:val="single"/>
              </w:rPr>
              <w:t>Note your format and frequency of supervision</w:t>
            </w:r>
            <w:r w:rsidRPr="00FF247F">
              <w:rPr>
                <w:rFonts w:asciiTheme="majorHAnsi" w:hAnsiTheme="majorHAnsi" w:cstheme="majorHAnsi"/>
                <w:color w:val="808080" w:themeColor="background1" w:themeShade="80"/>
                <w:sz w:val="20"/>
                <w:szCs w:val="20"/>
              </w:rPr>
              <w:t xml:space="preserve">: </w:t>
            </w:r>
          </w:p>
          <w:p w:rsidR="00403CC9" w:rsidRPr="00FF247F" w:rsidRDefault="00403CC9" w:rsidP="00403CC9">
            <w:pPr>
              <w:numPr>
                <w:ilvl w:val="0"/>
                <w:numId w:val="1"/>
              </w:numPr>
              <w:pBdr>
                <w:top w:val="nil"/>
                <w:left w:val="nil"/>
                <w:bottom w:val="nil"/>
                <w:right w:val="nil"/>
                <w:between w:val="nil"/>
              </w:pBdr>
              <w:spacing w:line="259" w:lineRule="auto"/>
              <w:ind w:left="171" w:hanging="142"/>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 xml:space="preserve"> List dates of appointments</w:t>
            </w:r>
          </w:p>
          <w:p w:rsidR="00403CC9" w:rsidRPr="00FF247F" w:rsidRDefault="00403CC9" w:rsidP="00403CC9">
            <w:pPr>
              <w:pBdr>
                <w:top w:val="nil"/>
                <w:left w:val="nil"/>
                <w:bottom w:val="nil"/>
                <w:right w:val="nil"/>
                <w:between w:val="nil"/>
              </w:pBdr>
              <w:spacing w:line="259" w:lineRule="auto"/>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Total XX sessions of XX hour  = XX hours.</w:t>
            </w:r>
          </w:p>
        </w:tc>
        <w:tc>
          <w:tcPr>
            <w:tcW w:w="1397" w:type="dxa"/>
          </w:tcPr>
          <w:p w:rsidR="00351317" w:rsidRPr="00FF247F" w:rsidRDefault="00403CC9" w:rsidP="00351317">
            <w:pPr>
              <w:spacing w:after="60"/>
              <w:rPr>
                <w:rFonts w:asciiTheme="majorHAnsi" w:hAnsiTheme="majorHAnsi" w:cstheme="majorHAnsi"/>
                <w:i/>
                <w:color w:val="808080" w:themeColor="background1" w:themeShade="80"/>
                <w:sz w:val="20"/>
                <w:szCs w:val="20"/>
              </w:rPr>
            </w:pPr>
            <w:r w:rsidRPr="00FF247F">
              <w:rPr>
                <w:rFonts w:asciiTheme="majorHAnsi" w:hAnsiTheme="majorHAnsi" w:cstheme="majorHAnsi"/>
                <w:i/>
                <w:color w:val="808080" w:themeColor="background1" w:themeShade="80"/>
                <w:sz w:val="20"/>
                <w:szCs w:val="20"/>
              </w:rPr>
              <w:t xml:space="preserve">Supervisor’s </w:t>
            </w:r>
            <w:r w:rsidR="00351317" w:rsidRPr="00FF247F">
              <w:rPr>
                <w:rFonts w:asciiTheme="majorHAnsi" w:hAnsiTheme="majorHAnsi" w:cstheme="majorHAnsi"/>
                <w:i/>
                <w:color w:val="808080" w:themeColor="background1" w:themeShade="80"/>
                <w:sz w:val="20"/>
                <w:szCs w:val="20"/>
              </w:rPr>
              <w:t>email address (compulsory)</w:t>
            </w:r>
          </w:p>
          <w:p w:rsidR="00403CC9" w:rsidRPr="00FF247F" w:rsidRDefault="00351317" w:rsidP="00403CC9">
            <w:pPr>
              <w:spacing w:after="60"/>
              <w:rPr>
                <w:rFonts w:asciiTheme="majorHAnsi" w:hAnsiTheme="majorHAnsi" w:cstheme="majorHAnsi"/>
                <w:i/>
                <w:color w:val="808080" w:themeColor="background1" w:themeShade="80"/>
                <w:sz w:val="20"/>
                <w:szCs w:val="20"/>
              </w:rPr>
            </w:pPr>
            <w:r w:rsidRPr="00FF247F">
              <w:rPr>
                <w:rFonts w:asciiTheme="majorHAnsi" w:hAnsiTheme="majorHAnsi" w:cstheme="majorHAnsi"/>
                <w:i/>
                <w:color w:val="808080" w:themeColor="background1" w:themeShade="80"/>
                <w:sz w:val="20"/>
                <w:szCs w:val="20"/>
              </w:rPr>
              <w:t xml:space="preserve">Supervisor’s signature/s (optional) </w:t>
            </w:r>
          </w:p>
        </w:tc>
      </w:tr>
      <w:tr w:rsidR="00403CC9" w:rsidRPr="00403CC9">
        <w:trPr>
          <w:trHeight w:val="1680"/>
        </w:trPr>
        <w:tc>
          <w:tcPr>
            <w:tcW w:w="1813" w:type="dxa"/>
            <w:shd w:val="clear" w:color="auto" w:fill="E2EFD9"/>
          </w:tcPr>
          <w:p w:rsidR="00403CC9" w:rsidRPr="00403CC9" w:rsidRDefault="00403CC9" w:rsidP="00403CC9">
            <w:pPr>
              <w:rPr>
                <w:rFonts w:asciiTheme="majorHAnsi" w:hAnsiTheme="majorHAnsi" w:cstheme="majorHAnsi"/>
                <w:sz w:val="28"/>
                <w:szCs w:val="28"/>
              </w:rPr>
            </w:pPr>
            <w:r w:rsidRPr="00403CC9">
              <w:rPr>
                <w:rFonts w:asciiTheme="majorHAnsi" w:hAnsiTheme="majorHAnsi" w:cstheme="majorHAnsi"/>
                <w:b/>
                <w:sz w:val="28"/>
                <w:szCs w:val="28"/>
              </w:rPr>
              <w:t>Reflection</w:t>
            </w:r>
            <w:r w:rsidRPr="00403CC9">
              <w:rPr>
                <w:rFonts w:asciiTheme="majorHAnsi" w:hAnsiTheme="majorHAnsi" w:cstheme="majorHAnsi"/>
                <w:sz w:val="28"/>
                <w:szCs w:val="28"/>
              </w:rPr>
              <w:t xml:space="preserve"> </w:t>
            </w:r>
          </w:p>
          <w:p w:rsidR="00403CC9" w:rsidRPr="00403CC9" w:rsidRDefault="00403CC9" w:rsidP="00403CC9">
            <w:pPr>
              <w:rPr>
                <w:rFonts w:asciiTheme="majorHAnsi" w:hAnsiTheme="majorHAnsi" w:cstheme="majorHAnsi"/>
                <w:sz w:val="21"/>
                <w:szCs w:val="21"/>
              </w:rPr>
            </w:pPr>
            <w:r w:rsidRPr="00403CC9">
              <w:rPr>
                <w:rFonts w:asciiTheme="majorHAnsi" w:hAnsiTheme="majorHAnsi" w:cstheme="majorHAnsi"/>
                <w:sz w:val="21"/>
                <w:szCs w:val="21"/>
              </w:rPr>
              <w:t>with intentionality</w:t>
            </w:r>
          </w:p>
        </w:tc>
        <w:tc>
          <w:tcPr>
            <w:tcW w:w="5806" w:type="dxa"/>
            <w:gridSpan w:val="4"/>
          </w:tcPr>
          <w:p w:rsidR="00403CC9" w:rsidRPr="00FF247F" w:rsidRDefault="00403CC9" w:rsidP="00403CC9">
            <w:pPr>
              <w:spacing w:after="60"/>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Meaningful opportunities of/for reflection: Reading, networking, experiences with young people, etc.</w:t>
            </w:r>
          </w:p>
          <w:p w:rsidR="00403CC9" w:rsidRPr="00FF247F" w:rsidRDefault="00403CC9" w:rsidP="00351317">
            <w:pPr>
              <w:numPr>
                <w:ilvl w:val="0"/>
                <w:numId w:val="1"/>
              </w:numPr>
              <w:pBdr>
                <w:top w:val="nil"/>
                <w:left w:val="nil"/>
                <w:bottom w:val="nil"/>
                <w:right w:val="nil"/>
                <w:between w:val="nil"/>
              </w:pBdr>
              <w:spacing w:line="259" w:lineRule="auto"/>
              <w:ind w:left="171" w:hanging="142"/>
              <w:rPr>
                <w:rFonts w:asciiTheme="majorHAnsi" w:hAnsiTheme="majorHAnsi" w:cstheme="majorHAnsi"/>
                <w:color w:val="808080" w:themeColor="background1" w:themeShade="80"/>
                <w:sz w:val="20"/>
                <w:szCs w:val="20"/>
              </w:rPr>
            </w:pPr>
            <w:r w:rsidRPr="00FF247F">
              <w:rPr>
                <w:rFonts w:asciiTheme="majorHAnsi" w:hAnsiTheme="majorHAnsi" w:cstheme="majorHAnsi"/>
                <w:color w:val="808080" w:themeColor="background1" w:themeShade="80"/>
                <w:sz w:val="20"/>
                <w:szCs w:val="20"/>
              </w:rPr>
              <w:t xml:space="preserve">  </w:t>
            </w:r>
          </w:p>
        </w:tc>
        <w:tc>
          <w:tcPr>
            <w:tcW w:w="1397" w:type="dxa"/>
          </w:tcPr>
          <w:p w:rsidR="00403CC9" w:rsidRPr="00FF247F" w:rsidRDefault="00403CC9" w:rsidP="00403CC9">
            <w:pPr>
              <w:spacing w:after="60"/>
              <w:rPr>
                <w:rFonts w:asciiTheme="majorHAnsi" w:hAnsiTheme="majorHAnsi" w:cstheme="majorHAnsi"/>
                <w:color w:val="808080" w:themeColor="background1" w:themeShade="80"/>
                <w:sz w:val="20"/>
                <w:szCs w:val="20"/>
              </w:rPr>
            </w:pPr>
            <w:r w:rsidRPr="00FF247F">
              <w:rPr>
                <w:rFonts w:asciiTheme="majorHAnsi" w:hAnsiTheme="majorHAnsi" w:cstheme="majorHAnsi"/>
                <w:i/>
                <w:color w:val="808080" w:themeColor="background1" w:themeShade="80"/>
                <w:sz w:val="20"/>
                <w:szCs w:val="20"/>
              </w:rPr>
              <w:t>Signed by yourself and/or  colleague/s</w:t>
            </w:r>
          </w:p>
        </w:tc>
      </w:tr>
      <w:tr w:rsidR="00403CC9" w:rsidRPr="00403CC9" w:rsidTr="001675D1">
        <w:trPr>
          <w:trHeight w:val="968"/>
        </w:trPr>
        <w:tc>
          <w:tcPr>
            <w:tcW w:w="1813" w:type="dxa"/>
            <w:shd w:val="clear" w:color="auto" w:fill="DEEBF6"/>
          </w:tcPr>
          <w:p w:rsidR="00403CC9" w:rsidRPr="00403CC9" w:rsidRDefault="00403CC9" w:rsidP="00403CC9">
            <w:pPr>
              <w:rPr>
                <w:rFonts w:asciiTheme="majorHAnsi" w:hAnsiTheme="majorHAnsi" w:cstheme="majorHAnsi"/>
              </w:rPr>
            </w:pPr>
            <w:r w:rsidRPr="00403CC9">
              <w:rPr>
                <w:rFonts w:asciiTheme="majorHAnsi" w:hAnsiTheme="majorHAnsi" w:cstheme="majorHAnsi"/>
              </w:rPr>
              <w:t xml:space="preserve">Future development: </w:t>
            </w:r>
          </w:p>
        </w:tc>
        <w:tc>
          <w:tcPr>
            <w:tcW w:w="7203" w:type="dxa"/>
            <w:gridSpan w:val="5"/>
          </w:tcPr>
          <w:p w:rsidR="00403CC9" w:rsidRDefault="00FF247F" w:rsidP="00FF247F">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What would you like to learn more about?</w:t>
            </w:r>
          </w:p>
          <w:p w:rsidR="00FF247F" w:rsidRDefault="00FF247F" w:rsidP="00FF247F">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How is this connected to the 9 Core Competencies?</w:t>
            </w:r>
            <w:r w:rsidR="00995E08">
              <w:rPr>
                <w:rFonts w:asciiTheme="majorHAnsi" w:hAnsiTheme="majorHAnsi" w:cstheme="majorHAnsi"/>
                <w:color w:val="808080" w:themeColor="background1" w:themeShade="80"/>
                <w:sz w:val="20"/>
                <w:szCs w:val="20"/>
              </w:rPr>
              <w:t xml:space="preserve"> (see overleaf)</w:t>
            </w:r>
          </w:p>
          <w:p w:rsidR="00FF247F" w:rsidRPr="00FF247F" w:rsidRDefault="00FF247F" w:rsidP="00FF247F">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(approx. 50 words)</w:t>
            </w:r>
          </w:p>
        </w:tc>
      </w:tr>
      <w:tr w:rsidR="00403CC9" w:rsidRPr="00403CC9">
        <w:tc>
          <w:tcPr>
            <w:tcW w:w="1813" w:type="dxa"/>
            <w:shd w:val="clear" w:color="auto" w:fill="DEEBF6"/>
          </w:tcPr>
          <w:p w:rsidR="00403CC9" w:rsidRPr="00403CC9" w:rsidRDefault="00403CC9" w:rsidP="00403CC9">
            <w:pPr>
              <w:rPr>
                <w:rFonts w:asciiTheme="majorHAnsi" w:hAnsiTheme="majorHAnsi" w:cstheme="majorHAnsi"/>
              </w:rPr>
            </w:pPr>
            <w:r w:rsidRPr="00403CC9">
              <w:rPr>
                <w:rFonts w:asciiTheme="majorHAnsi" w:hAnsiTheme="majorHAnsi" w:cstheme="majorHAnsi"/>
              </w:rPr>
              <w:t>What happens next?</w:t>
            </w:r>
          </w:p>
        </w:tc>
        <w:tc>
          <w:tcPr>
            <w:tcW w:w="7203" w:type="dxa"/>
            <w:gridSpan w:val="5"/>
          </w:tcPr>
          <w:p w:rsidR="00403CC9" w:rsidRPr="001675D1" w:rsidRDefault="00403CC9" w:rsidP="00403CC9">
            <w:pPr>
              <w:rPr>
                <w:rFonts w:asciiTheme="majorHAnsi" w:hAnsiTheme="majorHAnsi" w:cstheme="majorHAnsi"/>
                <w:sz w:val="24"/>
                <w:szCs w:val="24"/>
              </w:rPr>
            </w:pPr>
            <w:r w:rsidRPr="00FF247F">
              <w:rPr>
                <w:rFonts w:asciiTheme="majorHAnsi" w:hAnsiTheme="majorHAnsi" w:cstheme="majorHAnsi"/>
                <w:sz w:val="24"/>
                <w:szCs w:val="24"/>
              </w:rPr>
              <w:t>Send a PDF of your completed Annual Record of Transforming Practice to</w:t>
            </w:r>
            <w:r w:rsidR="00FF247F">
              <w:rPr>
                <w:rFonts w:asciiTheme="majorHAnsi" w:hAnsiTheme="majorHAnsi" w:cstheme="majorHAnsi"/>
                <w:sz w:val="24"/>
                <w:szCs w:val="24"/>
              </w:rPr>
              <w:t xml:space="preserve"> </w:t>
            </w:r>
            <w:hyperlink r:id="rId8">
              <w:r w:rsidRPr="00FF247F">
                <w:rPr>
                  <w:rFonts w:asciiTheme="majorHAnsi" w:hAnsiTheme="majorHAnsi" w:cstheme="majorHAnsi"/>
                  <w:color w:val="0563C1"/>
                  <w:sz w:val="24"/>
                  <w:szCs w:val="24"/>
                  <w:u w:val="single"/>
                </w:rPr>
                <w:t>korowaitupu@arataiohi.org.nz</w:t>
              </w:r>
            </w:hyperlink>
            <w:r w:rsidRPr="00FF247F">
              <w:rPr>
                <w:rFonts w:asciiTheme="majorHAnsi" w:hAnsiTheme="majorHAnsi" w:cstheme="majorHAnsi"/>
                <w:sz w:val="24"/>
                <w:szCs w:val="24"/>
              </w:rPr>
              <w:t xml:space="preserve"> </w:t>
            </w:r>
            <w:r w:rsidR="00FF247F" w:rsidRPr="00FF247F">
              <w:rPr>
                <w:rFonts w:asciiTheme="majorHAnsi" w:hAnsiTheme="majorHAnsi" w:cstheme="majorHAnsi"/>
                <w:sz w:val="24"/>
                <w:szCs w:val="24"/>
              </w:rPr>
              <w:t>by 30 November 2019</w:t>
            </w:r>
            <w:r w:rsidRPr="00FF247F">
              <w:rPr>
                <w:rFonts w:asciiTheme="majorHAnsi" w:hAnsiTheme="majorHAnsi" w:cstheme="majorHAnsi"/>
                <w:sz w:val="24"/>
                <w:szCs w:val="24"/>
              </w:rPr>
              <w:t>!</w:t>
            </w:r>
          </w:p>
        </w:tc>
      </w:tr>
    </w:tbl>
    <w:p w:rsidR="00995E08" w:rsidRDefault="00995E08" w:rsidP="00995E08">
      <w:pPr>
        <w:rPr>
          <w:rFonts w:asciiTheme="majorHAnsi" w:hAnsiTheme="majorHAnsi" w:cstheme="majorHAnsi"/>
          <w:b/>
          <w:sz w:val="24"/>
          <w:szCs w:val="24"/>
        </w:rPr>
      </w:pPr>
    </w:p>
    <w:p w:rsidR="00995E08" w:rsidRPr="00995E08" w:rsidRDefault="00995E08" w:rsidP="00995E08">
      <w:pPr>
        <w:rPr>
          <w:rFonts w:asciiTheme="majorHAnsi" w:hAnsiTheme="majorHAnsi" w:cstheme="majorHAnsi"/>
          <w:sz w:val="24"/>
          <w:szCs w:val="24"/>
        </w:rPr>
      </w:pPr>
      <w:r>
        <w:rPr>
          <w:rFonts w:asciiTheme="majorHAnsi" w:hAnsiTheme="majorHAnsi" w:cstheme="majorHAnsi"/>
          <w:b/>
          <w:sz w:val="24"/>
          <w:szCs w:val="24"/>
        </w:rPr>
        <w:t>When completing your Transforming Practice Annual Record of Professional Development Activities, you may like to consider the nine Core Competencies that confirmed your membership:</w:t>
      </w:r>
    </w:p>
    <w:p w:rsidR="00995E08" w:rsidRPr="00995E08" w:rsidRDefault="00995E08" w:rsidP="00995E08">
      <w:pPr>
        <w:pStyle w:val="NormalWeb"/>
        <w:shd w:val="clear" w:color="auto" w:fill="FFFFFF"/>
        <w:rPr>
          <w:rFonts w:asciiTheme="majorHAnsi" w:hAnsiTheme="majorHAnsi" w:cstheme="majorHAnsi"/>
          <w:color w:val="1F4E79" w:themeColor="accent1" w:themeShade="80"/>
          <w:sz w:val="33"/>
          <w:szCs w:val="33"/>
        </w:rPr>
      </w:pPr>
      <w:r w:rsidRPr="00995E08">
        <w:rPr>
          <w:rStyle w:val="Strong"/>
          <w:rFonts w:asciiTheme="majorHAnsi" w:hAnsiTheme="majorHAnsi" w:cstheme="majorHAnsi"/>
          <w:color w:val="1F4E79" w:themeColor="accent1" w:themeShade="80"/>
          <w:sz w:val="33"/>
          <w:szCs w:val="33"/>
        </w:rPr>
        <w:t>The Core Competencies for Youth Work are:</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The context of young people</w:t>
      </w:r>
      <w:r w:rsidRPr="00995E08">
        <w:rPr>
          <w:rFonts w:asciiTheme="majorHAnsi" w:eastAsia="Times New Roman" w:hAnsiTheme="majorHAnsi" w:cstheme="majorHAnsi"/>
          <w:color w:val="1F4E79" w:themeColor="accent1" w:themeShade="80"/>
          <w:sz w:val="24"/>
          <w:szCs w:val="24"/>
        </w:rPr>
        <w:t> – influences of the world that play a part in shaping young people – global, national, regional, local, family/whānau and human development.</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The context of youth work</w:t>
      </w:r>
      <w:r w:rsidRPr="00995E08">
        <w:rPr>
          <w:rFonts w:asciiTheme="majorHAnsi" w:eastAsia="Times New Roman" w:hAnsiTheme="majorHAnsi" w:cstheme="majorHAnsi"/>
          <w:color w:val="1F4E79" w:themeColor="accent1" w:themeShade="80"/>
          <w:sz w:val="24"/>
          <w:szCs w:val="24"/>
        </w:rPr>
        <w:t> – the history, role, and practice of youth work.</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Bicultural partnerships</w:t>
      </w:r>
      <w:r w:rsidRPr="00995E08">
        <w:rPr>
          <w:rFonts w:asciiTheme="majorHAnsi" w:eastAsia="Times New Roman" w:hAnsiTheme="majorHAnsi" w:cstheme="majorHAnsi"/>
          <w:color w:val="1F4E79" w:themeColor="accent1" w:themeShade="80"/>
          <w:sz w:val="24"/>
          <w:szCs w:val="24"/>
        </w:rPr>
        <w:t> – the values and aspirations of Iwi Māori and non-Māori.</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Building connectedness</w:t>
      </w:r>
      <w:r w:rsidRPr="00995E08">
        <w:rPr>
          <w:rFonts w:asciiTheme="majorHAnsi" w:eastAsia="Times New Roman" w:hAnsiTheme="majorHAnsi" w:cstheme="majorHAnsi"/>
          <w:color w:val="1F4E79" w:themeColor="accent1" w:themeShade="80"/>
          <w:sz w:val="24"/>
          <w:szCs w:val="24"/>
        </w:rPr>
        <w:t> – to build, strengthen or restore a young person’s connectedness to their key social environments.</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Building quality relationships</w:t>
      </w:r>
      <w:r w:rsidRPr="00995E08">
        <w:rPr>
          <w:rFonts w:asciiTheme="majorHAnsi" w:eastAsia="Times New Roman" w:hAnsiTheme="majorHAnsi" w:cstheme="majorHAnsi"/>
          <w:color w:val="1F4E79" w:themeColor="accent1" w:themeShade="80"/>
          <w:sz w:val="24"/>
          <w:szCs w:val="24"/>
        </w:rPr>
        <w:t> – to create a supportive environment, connect and work inclusively with young people from diverse backgrounds and cultures.</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Ensuring the safety and well-being of young people.</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Working from a strengths-based approach</w:t>
      </w:r>
      <w:r w:rsidRPr="00995E08">
        <w:rPr>
          <w:rFonts w:asciiTheme="majorHAnsi" w:eastAsia="Times New Roman" w:hAnsiTheme="majorHAnsi" w:cstheme="majorHAnsi"/>
          <w:color w:val="1F4E79" w:themeColor="accent1" w:themeShade="80"/>
          <w:sz w:val="24"/>
          <w:szCs w:val="24"/>
        </w:rPr>
        <w:t> – to build on strength, respond to need and foster growth.</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Facilitating youth participation</w:t>
      </w:r>
      <w:r w:rsidRPr="00995E08">
        <w:rPr>
          <w:rFonts w:asciiTheme="majorHAnsi" w:eastAsia="Times New Roman" w:hAnsiTheme="majorHAnsi" w:cstheme="majorHAnsi"/>
          <w:color w:val="1F4E79" w:themeColor="accent1" w:themeShade="80"/>
          <w:sz w:val="24"/>
          <w:szCs w:val="24"/>
        </w:rPr>
        <w:t> – actively engaging, involving and empowering young people.</w:t>
      </w:r>
    </w:p>
    <w:p w:rsidR="00995E08" w:rsidRPr="00995E08" w:rsidRDefault="00995E08" w:rsidP="00995E08">
      <w:pPr>
        <w:numPr>
          <w:ilvl w:val="0"/>
          <w:numId w:val="5"/>
        </w:numPr>
        <w:spacing w:before="100" w:beforeAutospacing="1" w:after="100" w:afterAutospacing="1" w:line="240" w:lineRule="auto"/>
        <w:rPr>
          <w:rFonts w:asciiTheme="majorHAnsi" w:eastAsia="Times New Roman" w:hAnsiTheme="majorHAnsi" w:cstheme="majorHAnsi"/>
          <w:color w:val="1F4E79" w:themeColor="accent1" w:themeShade="80"/>
          <w:sz w:val="24"/>
          <w:szCs w:val="24"/>
        </w:rPr>
      </w:pPr>
      <w:r w:rsidRPr="00995E08">
        <w:rPr>
          <w:rFonts w:asciiTheme="majorHAnsi" w:eastAsia="Times New Roman" w:hAnsiTheme="majorHAnsi" w:cstheme="majorHAnsi"/>
          <w:b/>
          <w:bCs/>
          <w:color w:val="1F4E79" w:themeColor="accent1" w:themeShade="80"/>
          <w:sz w:val="24"/>
          <w:szCs w:val="24"/>
        </w:rPr>
        <w:t>Reflective youth work practitioner </w:t>
      </w:r>
      <w:r w:rsidRPr="00995E08">
        <w:rPr>
          <w:rFonts w:asciiTheme="majorHAnsi" w:eastAsia="Times New Roman" w:hAnsiTheme="majorHAnsi" w:cstheme="majorHAnsi"/>
          <w:color w:val="1F4E79" w:themeColor="accent1" w:themeShade="80"/>
          <w:sz w:val="24"/>
          <w:szCs w:val="24"/>
        </w:rPr>
        <w:t>– use of self-care, supervision and other tools to ensure your practice is healthy and developing.</w:t>
      </w:r>
    </w:p>
    <w:p w:rsidR="00995E08" w:rsidRDefault="00995E08" w:rsidP="00FF247F">
      <w:pPr>
        <w:rPr>
          <w:rFonts w:asciiTheme="majorHAnsi" w:hAnsiTheme="majorHAnsi" w:cstheme="majorHAnsi"/>
          <w:b/>
          <w:sz w:val="24"/>
          <w:szCs w:val="24"/>
        </w:rPr>
      </w:pPr>
    </w:p>
    <w:p w:rsidR="00FF247F" w:rsidRDefault="00FF247F" w:rsidP="00FF247F">
      <w:pPr>
        <w:rPr>
          <w:rFonts w:asciiTheme="majorHAnsi" w:hAnsiTheme="majorHAnsi" w:cstheme="majorHAnsi"/>
          <w:sz w:val="24"/>
          <w:szCs w:val="24"/>
        </w:rPr>
      </w:pPr>
      <w:bookmarkStart w:id="1" w:name="_GoBack"/>
      <w:bookmarkEnd w:id="1"/>
      <w:r>
        <w:rPr>
          <w:rFonts w:asciiTheme="majorHAnsi" w:hAnsiTheme="majorHAnsi" w:cstheme="majorHAnsi"/>
          <w:b/>
          <w:sz w:val="24"/>
          <w:szCs w:val="24"/>
        </w:rPr>
        <w:t>Some finer details:</w:t>
      </w:r>
      <w:r>
        <w:rPr>
          <w:rFonts w:asciiTheme="majorHAnsi" w:hAnsiTheme="majorHAnsi" w:cstheme="majorHAnsi"/>
          <w:b/>
          <w:sz w:val="24"/>
          <w:szCs w:val="24"/>
        </w:rPr>
        <w:br/>
      </w:r>
      <w:r w:rsidRPr="00FF247F">
        <w:rPr>
          <w:rFonts w:asciiTheme="majorHAnsi" w:hAnsiTheme="majorHAnsi" w:cstheme="majorHAnsi"/>
          <w:sz w:val="24"/>
          <w:szCs w:val="24"/>
        </w:rPr>
        <w:t>The Transforming Practice sub-committee ratifies the list of members who have submitted Annual Records and reports the total number to the Korowai Tupu rōpū, plus the names of any members who have not yet submitted Annual Records</w:t>
      </w:r>
      <w:r>
        <w:rPr>
          <w:rFonts w:asciiTheme="majorHAnsi" w:hAnsiTheme="majorHAnsi" w:cstheme="majorHAnsi"/>
          <w:sz w:val="24"/>
          <w:szCs w:val="24"/>
        </w:rPr>
        <w:t>, at the December hui which also presents to the Ara Taiohi Board</w:t>
      </w:r>
      <w:r w:rsidRPr="00FF247F">
        <w:rPr>
          <w:rFonts w:asciiTheme="majorHAnsi" w:hAnsiTheme="majorHAnsi" w:cstheme="majorHAnsi"/>
          <w:sz w:val="24"/>
          <w:szCs w:val="24"/>
        </w:rPr>
        <w:t xml:space="preserve">. </w:t>
      </w:r>
      <w:r w:rsidR="00685E60" w:rsidRPr="00995E08">
        <w:rPr>
          <w:rFonts w:asciiTheme="majorHAnsi" w:hAnsiTheme="majorHAnsi" w:cstheme="majorHAnsi"/>
          <w:sz w:val="24"/>
          <w:szCs w:val="24"/>
        </w:rPr>
        <w:t xml:space="preserve">The subcommittee conducts annual random audits of transforming practice forms. </w:t>
      </w:r>
      <w:r w:rsidRPr="00995E08">
        <w:rPr>
          <w:rFonts w:asciiTheme="majorHAnsi" w:hAnsiTheme="majorHAnsi" w:cstheme="majorHAnsi"/>
          <w:sz w:val="24"/>
          <w:szCs w:val="24"/>
        </w:rPr>
        <w:t xml:space="preserve"> If a</w:t>
      </w:r>
      <w:r w:rsidRPr="00FF247F">
        <w:rPr>
          <w:rFonts w:asciiTheme="majorHAnsi" w:hAnsiTheme="majorHAnsi" w:cstheme="majorHAnsi"/>
          <w:sz w:val="24"/>
          <w:szCs w:val="24"/>
        </w:rPr>
        <w:t xml:space="preserve"> member consistently</w:t>
      </w:r>
      <w:r>
        <w:rPr>
          <w:rFonts w:asciiTheme="majorHAnsi" w:hAnsiTheme="majorHAnsi" w:cstheme="majorHAnsi"/>
          <w:sz w:val="24"/>
          <w:szCs w:val="24"/>
        </w:rPr>
        <w:t xml:space="preserve"> chooses not to participate in Transforming P</w:t>
      </w:r>
      <w:r w:rsidRPr="00FF247F">
        <w:rPr>
          <w:rFonts w:asciiTheme="majorHAnsi" w:hAnsiTheme="majorHAnsi" w:cstheme="majorHAnsi"/>
          <w:sz w:val="24"/>
          <w:szCs w:val="24"/>
        </w:rPr>
        <w:t>ractice the rōpū will refer this to a restorative panel.</w:t>
      </w:r>
    </w:p>
    <w:p w:rsidR="00FF247F" w:rsidRDefault="00FF247F" w:rsidP="00FF247F">
      <w:pPr>
        <w:rPr>
          <w:rFonts w:asciiTheme="majorHAnsi" w:hAnsiTheme="majorHAnsi" w:cstheme="majorHAnsi"/>
          <w:sz w:val="24"/>
          <w:szCs w:val="24"/>
        </w:rPr>
      </w:pPr>
      <w:r>
        <w:rPr>
          <w:rFonts w:asciiTheme="majorHAnsi" w:hAnsiTheme="majorHAnsi" w:cstheme="majorHAnsi"/>
          <w:sz w:val="24"/>
          <w:szCs w:val="24"/>
        </w:rPr>
        <w:t>The collated data from the 2019 membership will inform a series of benchmark indicators (e.g. number of hours in Education activities, formulae for Supervision, etc). The Transforming Practice sub-committee will develop these</w:t>
      </w:r>
      <w:r w:rsidR="00995E08">
        <w:rPr>
          <w:rFonts w:asciiTheme="majorHAnsi" w:hAnsiTheme="majorHAnsi" w:cstheme="majorHAnsi"/>
          <w:sz w:val="24"/>
          <w:szCs w:val="24"/>
        </w:rPr>
        <w:t xml:space="preserve"> based on the reality of youth work</w:t>
      </w:r>
      <w:r>
        <w:rPr>
          <w:rFonts w:asciiTheme="majorHAnsi" w:hAnsiTheme="majorHAnsi" w:cstheme="majorHAnsi"/>
          <w:sz w:val="24"/>
          <w:szCs w:val="24"/>
        </w:rPr>
        <w:t>.</w:t>
      </w:r>
    </w:p>
    <w:p w:rsidR="00685E60" w:rsidRDefault="00685E60" w:rsidP="00FF247F">
      <w:pPr>
        <w:rPr>
          <w:rFonts w:asciiTheme="majorHAnsi" w:hAnsiTheme="majorHAnsi" w:cstheme="majorHAnsi"/>
          <w:sz w:val="24"/>
          <w:szCs w:val="24"/>
        </w:rPr>
      </w:pPr>
      <w:r w:rsidRPr="00995E08">
        <w:rPr>
          <w:rFonts w:asciiTheme="majorHAnsi" w:hAnsiTheme="majorHAnsi" w:cstheme="majorHAnsi"/>
          <w:sz w:val="24"/>
          <w:szCs w:val="24"/>
        </w:rPr>
        <w:t>This information is stored securely in a password protected online space, and will be held for 2 years after the termination of your membership. It will be able to be accessed by Ara Taiohi staff, board, Korowai Tupu rōpū and sub-committees, and will be accessed by any person considering any complaints that affect the member. You are entitled to request access or correction any of your personal information held by Korowai Tupu o Ara Taiohi.</w:t>
      </w:r>
    </w:p>
    <w:p w:rsidR="00995E08" w:rsidRPr="00FF247F" w:rsidRDefault="00995E08">
      <w:pPr>
        <w:rPr>
          <w:rFonts w:asciiTheme="majorHAnsi" w:hAnsiTheme="majorHAnsi" w:cstheme="majorHAnsi"/>
          <w:sz w:val="24"/>
          <w:szCs w:val="24"/>
        </w:rPr>
      </w:pPr>
    </w:p>
    <w:sectPr w:rsidR="00995E08" w:rsidRPr="00FF247F">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CE" w:rsidRDefault="00B975CE">
      <w:pPr>
        <w:spacing w:after="0" w:line="240" w:lineRule="auto"/>
      </w:pPr>
      <w:r>
        <w:separator/>
      </w:r>
    </w:p>
  </w:endnote>
  <w:endnote w:type="continuationSeparator" w:id="0">
    <w:p w:rsidR="00B975CE" w:rsidRDefault="00B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B6" w:rsidRDefault="005C3B1B">
    <w:pPr>
      <w:pBdr>
        <w:top w:val="nil"/>
        <w:left w:val="nil"/>
        <w:bottom w:val="nil"/>
        <w:right w:val="nil"/>
        <w:between w:val="nil"/>
      </w:pBdr>
      <w:tabs>
        <w:tab w:val="center" w:pos="4680"/>
        <w:tab w:val="right" w:pos="9360"/>
      </w:tabs>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201</w:t>
    </w:r>
    <w:r w:rsidR="00995E08">
      <w:rPr>
        <w:rFonts w:ascii="Lucida Sans" w:eastAsia="Lucida Sans" w:hAnsi="Lucida Sans" w:cs="Lucida Sans"/>
        <w:color w:val="000000"/>
        <w:sz w:val="18"/>
        <w:szCs w:val="18"/>
      </w:rPr>
      <w:t>9</w:t>
    </w:r>
    <w:r>
      <w:rPr>
        <w:rFonts w:ascii="Lucida Sans" w:eastAsia="Lucida Sans" w:hAnsi="Lucida Sans" w:cs="Lucida Sans"/>
        <w:color w:val="000000"/>
        <w:sz w:val="18"/>
        <w:szCs w:val="18"/>
      </w:rPr>
      <w:t xml:space="preserve"> Trial:</w:t>
    </w:r>
    <w:r>
      <w:rPr>
        <w:rFonts w:ascii="Lucida Sans" w:eastAsia="Lucida Sans" w:hAnsi="Lucida Sans" w:cs="Lucida Sans"/>
        <w:color w:val="00A8E1"/>
        <w:sz w:val="18"/>
        <w:szCs w:val="18"/>
      </w:rPr>
      <w:t xml:space="preserve"> </w:t>
    </w:r>
    <w:r>
      <w:rPr>
        <w:rFonts w:ascii="Lucida Sans" w:eastAsia="Lucida Sans" w:hAnsi="Lucida Sans" w:cs="Lucida Sans"/>
        <w:color w:val="000000"/>
        <w:sz w:val="18"/>
        <w:szCs w:val="18"/>
      </w:rPr>
      <w:t>Annual Record of Transforming Practice for Korowai Tupu Members</w:t>
    </w:r>
    <w:r>
      <w:rPr>
        <w:noProof/>
        <w:lang w:val="en-NZ"/>
      </w:rPr>
      <w:drawing>
        <wp:anchor distT="0" distB="0" distL="114300" distR="114300" simplePos="0" relativeHeight="251658240" behindDoc="0" locked="0" layoutInCell="1" hidden="0" allowOverlap="1" wp14:anchorId="4D8ADF5B" wp14:editId="63A78C1C">
          <wp:simplePos x="0" y="0"/>
          <wp:positionH relativeFrom="column">
            <wp:posOffset>4436745</wp:posOffset>
          </wp:positionH>
          <wp:positionV relativeFrom="paragraph">
            <wp:posOffset>-314959</wp:posOffset>
          </wp:positionV>
          <wp:extent cx="1924960" cy="478010"/>
          <wp:effectExtent l="0" t="0" r="0" b="0"/>
          <wp:wrapNone/>
          <wp:docPr id="3" name="image1.png" descr="Ara Taiohi Logo 2016 Colour for emails"/>
          <wp:cNvGraphicFramePr/>
          <a:graphic xmlns:a="http://schemas.openxmlformats.org/drawingml/2006/main">
            <a:graphicData uri="http://schemas.openxmlformats.org/drawingml/2006/picture">
              <pic:pic xmlns:pic="http://schemas.openxmlformats.org/drawingml/2006/picture">
                <pic:nvPicPr>
                  <pic:cNvPr id="0" name="image1.png" descr="Ara Taiohi Logo 2016 Colour for emails"/>
                  <pic:cNvPicPr preferRelativeResize="0"/>
                </pic:nvPicPr>
                <pic:blipFill>
                  <a:blip r:embed="rId1"/>
                  <a:srcRect/>
                  <a:stretch>
                    <a:fillRect/>
                  </a:stretch>
                </pic:blipFill>
                <pic:spPr>
                  <a:xfrm>
                    <a:off x="0" y="0"/>
                    <a:ext cx="1924960" cy="4780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CE" w:rsidRDefault="00B975CE">
      <w:pPr>
        <w:spacing w:after="0" w:line="240" w:lineRule="auto"/>
      </w:pPr>
      <w:r>
        <w:separator/>
      </w:r>
    </w:p>
  </w:footnote>
  <w:footnote w:type="continuationSeparator" w:id="0">
    <w:p w:rsidR="00B975CE" w:rsidRDefault="00B9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B6" w:rsidRPr="00995E08" w:rsidRDefault="00995E08" w:rsidP="00995E08">
    <w:pPr>
      <w:pBdr>
        <w:top w:val="nil"/>
        <w:left w:val="nil"/>
        <w:bottom w:val="nil"/>
        <w:right w:val="nil"/>
        <w:between w:val="nil"/>
      </w:pBdr>
      <w:tabs>
        <w:tab w:val="center" w:pos="4680"/>
        <w:tab w:val="right" w:pos="9360"/>
      </w:tabs>
      <w:spacing w:after="120" w:line="240" w:lineRule="auto"/>
      <w:rPr>
        <w:rFonts w:ascii="Lucida Sans" w:eastAsia="Lucida Sans" w:hAnsi="Lucida Sans" w:cs="Lucida Sans"/>
        <w:color w:val="000000"/>
        <w:sz w:val="40"/>
        <w:szCs w:val="40"/>
      </w:rPr>
    </w:pPr>
    <w:r>
      <w:rPr>
        <w:noProof/>
        <w:color w:val="00A8E1"/>
        <w:sz w:val="20"/>
        <w:szCs w:val="20"/>
        <w:lang w:val="en-NZ"/>
      </w:rPr>
      <w:drawing>
        <wp:inline distT="0" distB="0" distL="0" distR="0" wp14:anchorId="438282D2" wp14:editId="00E19DF7">
          <wp:extent cx="1536199" cy="706427"/>
          <wp:effectExtent l="0" t="0" r="0" b="0"/>
          <wp:docPr id="4" name="image2.png" descr="cid:image005.png@01D2FA32.A2F1A560"/>
          <wp:cNvGraphicFramePr/>
          <a:graphic xmlns:a="http://schemas.openxmlformats.org/drawingml/2006/main">
            <a:graphicData uri="http://schemas.openxmlformats.org/drawingml/2006/picture">
              <pic:pic xmlns:pic="http://schemas.openxmlformats.org/drawingml/2006/picture">
                <pic:nvPicPr>
                  <pic:cNvPr id="0" name="image2.png" descr="cid:image005.png@01D2FA32.A2F1A560"/>
                  <pic:cNvPicPr preferRelativeResize="0"/>
                </pic:nvPicPr>
                <pic:blipFill>
                  <a:blip r:embed="rId1"/>
                  <a:srcRect/>
                  <a:stretch>
                    <a:fillRect/>
                  </a:stretch>
                </pic:blipFill>
                <pic:spPr>
                  <a:xfrm>
                    <a:off x="0" y="0"/>
                    <a:ext cx="1536199" cy="706427"/>
                  </a:xfrm>
                  <a:prstGeom prst="rect">
                    <a:avLst/>
                  </a:prstGeom>
                  <a:ln/>
                </pic:spPr>
              </pic:pic>
            </a:graphicData>
          </a:graphic>
        </wp:inline>
      </w:drawing>
    </w:r>
    <w:r>
      <w:rPr>
        <w:b/>
        <w:color w:val="000000"/>
        <w:sz w:val="24"/>
        <w:szCs w:val="24"/>
      </w:rPr>
      <w:t xml:space="preserve">  </w:t>
    </w:r>
    <w:r w:rsidRPr="00995E08">
      <w:rPr>
        <w:rFonts w:eastAsia="Lucida Sans"/>
        <w:b/>
        <w:i/>
        <w:color w:val="00B1AC"/>
        <w:sz w:val="56"/>
        <w:szCs w:val="56"/>
      </w:rPr>
      <w:t>Transforming Practice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EC3"/>
    <w:multiLevelType w:val="multilevel"/>
    <w:tmpl w:val="89C0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F1115C"/>
    <w:multiLevelType w:val="multilevel"/>
    <w:tmpl w:val="6AB06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8F70B9"/>
    <w:multiLevelType w:val="hybridMultilevel"/>
    <w:tmpl w:val="6DFE2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7B32A85"/>
    <w:multiLevelType w:val="multilevel"/>
    <w:tmpl w:val="DDE41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EA5A5D"/>
    <w:multiLevelType w:val="hybridMultilevel"/>
    <w:tmpl w:val="CD4A3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B6"/>
    <w:rsid w:val="0008164F"/>
    <w:rsid w:val="001675D1"/>
    <w:rsid w:val="00193817"/>
    <w:rsid w:val="00351317"/>
    <w:rsid w:val="00403CC9"/>
    <w:rsid w:val="00526F9B"/>
    <w:rsid w:val="005C3B1B"/>
    <w:rsid w:val="005E0189"/>
    <w:rsid w:val="00685E60"/>
    <w:rsid w:val="00995E08"/>
    <w:rsid w:val="009E6CDA"/>
    <w:rsid w:val="00A92F60"/>
    <w:rsid w:val="00B975CE"/>
    <w:rsid w:val="00CA3B79"/>
    <w:rsid w:val="00CA5817"/>
    <w:rsid w:val="00CC03FD"/>
    <w:rsid w:val="00E604B6"/>
    <w:rsid w:val="00FF247F"/>
    <w:rsid w:val="00FF7A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B9498"/>
  <w15:docId w15:val="{C5EF628E-D471-4B63-9DC0-0AB710A3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D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7F"/>
  </w:style>
  <w:style w:type="paragraph" w:styleId="Footer">
    <w:name w:val="footer"/>
    <w:basedOn w:val="Normal"/>
    <w:link w:val="FooterChar"/>
    <w:uiPriority w:val="99"/>
    <w:unhideWhenUsed/>
    <w:rsid w:val="0081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7F"/>
  </w:style>
  <w:style w:type="paragraph" w:styleId="ListParagraph">
    <w:name w:val="List Paragraph"/>
    <w:basedOn w:val="Normal"/>
    <w:uiPriority w:val="34"/>
    <w:qFormat/>
    <w:rsid w:val="000F3403"/>
    <w:pPr>
      <w:ind w:left="720"/>
      <w:contextualSpacing/>
    </w:pPr>
  </w:style>
  <w:style w:type="character" w:styleId="Hyperlink">
    <w:name w:val="Hyperlink"/>
    <w:basedOn w:val="DefaultParagraphFont"/>
    <w:uiPriority w:val="99"/>
    <w:unhideWhenUsed/>
    <w:rsid w:val="003D790B"/>
    <w:rPr>
      <w:color w:val="0563C1" w:themeColor="hyperlink"/>
      <w:u w:val="single"/>
    </w:rPr>
  </w:style>
  <w:style w:type="character" w:customStyle="1" w:styleId="UnresolvedMention1">
    <w:name w:val="Unresolved Mention1"/>
    <w:basedOn w:val="DefaultParagraphFont"/>
    <w:uiPriority w:val="99"/>
    <w:semiHidden/>
    <w:unhideWhenUsed/>
    <w:rsid w:val="003D790B"/>
    <w:rPr>
      <w:color w:val="808080"/>
      <w:shd w:val="clear" w:color="auto" w:fill="E6E6E6"/>
    </w:rPr>
  </w:style>
  <w:style w:type="paragraph" w:styleId="BalloonText">
    <w:name w:val="Balloon Text"/>
    <w:basedOn w:val="Normal"/>
    <w:link w:val="BalloonTextChar"/>
    <w:uiPriority w:val="99"/>
    <w:semiHidden/>
    <w:unhideWhenUsed/>
    <w:rsid w:val="0050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B7"/>
    <w:rPr>
      <w:rFonts w:ascii="Segoe UI" w:hAnsi="Segoe UI" w:cs="Segoe UI"/>
      <w:sz w:val="18"/>
      <w:szCs w:val="18"/>
    </w:rPr>
  </w:style>
  <w:style w:type="character" w:styleId="CommentReference">
    <w:name w:val="annotation reference"/>
    <w:basedOn w:val="DefaultParagraphFont"/>
    <w:uiPriority w:val="99"/>
    <w:semiHidden/>
    <w:unhideWhenUsed/>
    <w:rsid w:val="009E4D5A"/>
    <w:rPr>
      <w:sz w:val="16"/>
      <w:szCs w:val="16"/>
    </w:rPr>
  </w:style>
  <w:style w:type="paragraph" w:styleId="CommentText">
    <w:name w:val="annotation text"/>
    <w:basedOn w:val="Normal"/>
    <w:link w:val="CommentTextChar"/>
    <w:uiPriority w:val="99"/>
    <w:semiHidden/>
    <w:unhideWhenUsed/>
    <w:rsid w:val="009E4D5A"/>
    <w:pPr>
      <w:spacing w:line="240" w:lineRule="auto"/>
    </w:pPr>
    <w:rPr>
      <w:sz w:val="20"/>
      <w:szCs w:val="20"/>
    </w:rPr>
  </w:style>
  <w:style w:type="character" w:customStyle="1" w:styleId="CommentTextChar">
    <w:name w:val="Comment Text Char"/>
    <w:basedOn w:val="DefaultParagraphFont"/>
    <w:link w:val="CommentText"/>
    <w:uiPriority w:val="99"/>
    <w:semiHidden/>
    <w:rsid w:val="009E4D5A"/>
    <w:rPr>
      <w:sz w:val="20"/>
      <w:szCs w:val="20"/>
    </w:rPr>
  </w:style>
  <w:style w:type="paragraph" w:styleId="CommentSubject">
    <w:name w:val="annotation subject"/>
    <w:basedOn w:val="CommentText"/>
    <w:next w:val="CommentText"/>
    <w:link w:val="CommentSubjectChar"/>
    <w:uiPriority w:val="99"/>
    <w:semiHidden/>
    <w:unhideWhenUsed/>
    <w:rsid w:val="009E4D5A"/>
    <w:rPr>
      <w:b/>
      <w:bCs/>
    </w:rPr>
  </w:style>
  <w:style w:type="character" w:customStyle="1" w:styleId="CommentSubjectChar">
    <w:name w:val="Comment Subject Char"/>
    <w:basedOn w:val="CommentTextChar"/>
    <w:link w:val="CommentSubject"/>
    <w:uiPriority w:val="99"/>
    <w:semiHidden/>
    <w:rsid w:val="009E4D5A"/>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9E6CDA"/>
    <w:pPr>
      <w:spacing w:after="0" w:line="240" w:lineRule="auto"/>
    </w:pPr>
    <w:rPr>
      <w:rFonts w:ascii="Times New Roman" w:eastAsiaTheme="minorHAnsi" w:hAnsi="Times New Roman" w:cs="Times New Roman"/>
      <w:sz w:val="24"/>
      <w:szCs w:val="24"/>
      <w:lang w:val="en-NZ"/>
    </w:rPr>
  </w:style>
  <w:style w:type="character" w:styleId="Strong">
    <w:name w:val="Strong"/>
    <w:basedOn w:val="DefaultParagraphFont"/>
    <w:uiPriority w:val="22"/>
    <w:qFormat/>
    <w:rsid w:val="009E6CDA"/>
    <w:rPr>
      <w:b/>
      <w:bCs/>
    </w:rPr>
  </w:style>
  <w:style w:type="paragraph" w:styleId="NoSpacing">
    <w:name w:val="No Spacing"/>
    <w:link w:val="NoSpacingChar"/>
    <w:uiPriority w:val="1"/>
    <w:qFormat/>
    <w:rsid w:val="00526F9B"/>
    <w:pPr>
      <w:spacing w:after="0" w:line="240" w:lineRule="auto"/>
    </w:pPr>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526F9B"/>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0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waitupu@arataiohi.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A4eiIkNaeoFxTY4sNIfK/rknw==">AMUW2mXgN0Y2f3vqaFFUCOWjQ7uY3QUJwRQUpAXG6piBTGua9hqUe+JP4JpD3KFgoImpFQAGtfj2FXXMzmSYBQ+5WCp4TTqmmondoGe2GZ9jzhcn+a3gdm3RtCeL0K7rJYRHLV07EQio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Rod Baxter</cp:lastModifiedBy>
  <cp:revision>3</cp:revision>
  <cp:lastPrinted>2019-09-02T10:01:00Z</cp:lastPrinted>
  <dcterms:created xsi:type="dcterms:W3CDTF">2019-09-16T03:29:00Z</dcterms:created>
  <dcterms:modified xsi:type="dcterms:W3CDTF">2019-09-16T03:37:00Z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0x010100F3A133DAEBC58E49A3CB7275661C10AF</vt:lpwstr>
  </property>
</Properties>
</file>